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30" w:rsidRPr="00FD2230" w:rsidRDefault="00FD2230" w:rsidP="00FD2230">
      <w:pPr>
        <w:pStyle w:val="Header"/>
        <w:spacing w:line="276" w:lineRule="auto"/>
        <w:jc w:val="center"/>
        <w:rPr>
          <w:rFonts w:cstheme="minorHAnsi"/>
          <w:b/>
          <w:sz w:val="28"/>
          <w:szCs w:val="28"/>
        </w:rPr>
      </w:pPr>
      <w:r w:rsidRPr="00FD2230">
        <w:rPr>
          <w:rFonts w:cstheme="minorHAnsi"/>
          <w:b/>
          <w:sz w:val="32"/>
          <w:szCs w:val="32"/>
        </w:rPr>
        <w:t xml:space="preserve">Commissioner’s Guide to the NCEPOD Report - </w:t>
      </w:r>
      <w:r w:rsidR="00163482">
        <w:rPr>
          <w:rFonts w:cstheme="minorHAnsi"/>
          <w:b/>
          <w:sz w:val="28"/>
          <w:szCs w:val="28"/>
        </w:rPr>
        <w:t>‘Time Matters</w:t>
      </w:r>
      <w:r w:rsidRPr="00FD2230">
        <w:rPr>
          <w:rFonts w:cstheme="minorHAnsi"/>
          <w:b/>
          <w:sz w:val="28"/>
          <w:szCs w:val="28"/>
        </w:rPr>
        <w:t xml:space="preserve">’ </w:t>
      </w:r>
    </w:p>
    <w:p w:rsidR="00FD2230" w:rsidRPr="00FD2230" w:rsidRDefault="00FD2230" w:rsidP="00163482">
      <w:pPr>
        <w:pStyle w:val="Header"/>
        <w:spacing w:line="276" w:lineRule="auto"/>
        <w:jc w:val="center"/>
        <w:rPr>
          <w:rFonts w:cstheme="minorHAnsi"/>
          <w:b/>
          <w:sz w:val="28"/>
          <w:szCs w:val="28"/>
        </w:rPr>
      </w:pPr>
      <w:r w:rsidRPr="00FD2230">
        <w:rPr>
          <w:rFonts w:cstheme="minorHAnsi"/>
          <w:b/>
          <w:sz w:val="28"/>
          <w:szCs w:val="28"/>
        </w:rPr>
        <w:t xml:space="preserve"> </w:t>
      </w:r>
      <w:r w:rsidR="00163482" w:rsidRPr="00163482">
        <w:rPr>
          <w:rFonts w:cstheme="minorHAnsi"/>
          <w:b/>
          <w:sz w:val="28"/>
          <w:szCs w:val="28"/>
        </w:rPr>
        <w:t>A review of the quality of care provided to patients</w:t>
      </w:r>
      <w:r w:rsidR="00163482">
        <w:rPr>
          <w:rFonts w:cstheme="minorHAnsi"/>
          <w:b/>
          <w:sz w:val="28"/>
          <w:szCs w:val="28"/>
        </w:rPr>
        <w:t xml:space="preserve"> </w:t>
      </w:r>
      <w:r w:rsidR="00163482" w:rsidRPr="00163482">
        <w:rPr>
          <w:rFonts w:cstheme="minorHAnsi"/>
          <w:b/>
          <w:sz w:val="28"/>
          <w:szCs w:val="28"/>
        </w:rPr>
        <w:t>who were admitted to hospital</w:t>
      </w:r>
      <w:r w:rsidR="00163482">
        <w:rPr>
          <w:rFonts w:cstheme="minorHAnsi"/>
          <w:b/>
          <w:sz w:val="28"/>
          <w:szCs w:val="28"/>
        </w:rPr>
        <w:t xml:space="preserve"> </w:t>
      </w:r>
      <w:r w:rsidR="00163482" w:rsidRPr="00163482">
        <w:rPr>
          <w:rFonts w:cstheme="minorHAnsi"/>
          <w:b/>
          <w:sz w:val="28"/>
          <w:szCs w:val="28"/>
        </w:rPr>
        <w:t>following an out-of-hospital cardiac arrest</w:t>
      </w:r>
    </w:p>
    <w:p w:rsidR="00AE0602" w:rsidRPr="00FD2230" w:rsidRDefault="00AE0602" w:rsidP="00FD2230">
      <w:pPr>
        <w:spacing w:after="0" w:line="276" w:lineRule="auto"/>
        <w:rPr>
          <w:rFonts w:cstheme="minorHAnsi"/>
        </w:rPr>
        <w:sectPr w:rsidR="00AE0602" w:rsidRPr="00FD2230">
          <w:headerReference w:type="default" r:id="rId7"/>
          <w:pgSz w:w="11906" w:h="16838"/>
          <w:pgMar w:top="1440" w:right="1440" w:bottom="1440" w:left="1440" w:header="708" w:footer="708" w:gutter="0"/>
          <w:cols w:space="708"/>
          <w:docGrid w:linePitch="360"/>
        </w:sectPr>
      </w:pPr>
    </w:p>
    <w:p w:rsidR="00FD2230" w:rsidRPr="00FD2230" w:rsidRDefault="00FD2230" w:rsidP="00FD2230">
      <w:pPr>
        <w:spacing w:after="0" w:line="276" w:lineRule="auto"/>
        <w:rPr>
          <w:rFonts w:cstheme="minorHAnsi"/>
          <w:b/>
          <w:sz w:val="24"/>
          <w:szCs w:val="24"/>
        </w:rPr>
      </w:pPr>
    </w:p>
    <w:p w:rsidR="00CE78AE" w:rsidRPr="00D87E36" w:rsidRDefault="00AE0602" w:rsidP="00FD2230">
      <w:pPr>
        <w:spacing w:after="0" w:line="276" w:lineRule="auto"/>
        <w:rPr>
          <w:rFonts w:cstheme="minorHAnsi"/>
          <w:b/>
        </w:rPr>
      </w:pPr>
      <w:r w:rsidRPr="00D87E36">
        <w:rPr>
          <w:rFonts w:cstheme="minorHAnsi"/>
          <w:b/>
        </w:rPr>
        <w:t>Introduction</w:t>
      </w:r>
    </w:p>
    <w:p w:rsidR="009D256F" w:rsidRPr="00D87E36" w:rsidRDefault="009D256F" w:rsidP="00FD2230">
      <w:pPr>
        <w:spacing w:after="0" w:line="276" w:lineRule="auto"/>
        <w:rPr>
          <w:rFonts w:cstheme="minorHAnsi"/>
        </w:rPr>
      </w:pPr>
      <w:r w:rsidRPr="00D87E36">
        <w:rPr>
          <w:rFonts w:cstheme="minorHAnsi"/>
        </w:rPr>
        <w:t xml:space="preserve">The incidence of out-of-hospital cardiac arrest (OHCA) in the UK is approximately 60,000 per year and UK ambulance services attempt resuscitation in an estimated 30,000 people per year. </w:t>
      </w:r>
      <w:r w:rsidR="000B6E18" w:rsidRPr="00D87E36">
        <w:rPr>
          <w:rFonts w:cstheme="minorHAnsi"/>
        </w:rPr>
        <w:t>There is</w:t>
      </w:r>
      <w:r w:rsidRPr="00D87E36">
        <w:rPr>
          <w:rFonts w:cstheme="minorHAnsi"/>
        </w:rPr>
        <w:t xml:space="preserve"> considerable variation in both the rate of return of spontaneous circulation (ROSC) at hospital handover (13-27%) and the rate of survival to hospital discharge (2.2%-12%). </w:t>
      </w:r>
      <w:r w:rsidR="000B6E18" w:rsidRPr="00D87E36">
        <w:rPr>
          <w:rFonts w:cstheme="minorHAnsi"/>
        </w:rPr>
        <w:t>O</w:t>
      </w:r>
      <w:r w:rsidRPr="00D87E36">
        <w:rPr>
          <w:rFonts w:cstheme="minorHAnsi"/>
        </w:rPr>
        <w:t>n average, fewer than one in ten people in the UK survive an OHCA</w:t>
      </w:r>
      <w:r w:rsidRPr="00D87E36">
        <w:rPr>
          <w:rFonts w:cstheme="minorHAnsi"/>
          <w:b/>
        </w:rPr>
        <w:t>.</w:t>
      </w:r>
      <w:r w:rsidR="004E6795" w:rsidRPr="00D87E36">
        <w:rPr>
          <w:rFonts w:cstheme="minorHAnsi"/>
          <w:b/>
        </w:rPr>
        <w:t xml:space="preserve"> </w:t>
      </w:r>
    </w:p>
    <w:p w:rsidR="000B6E18" w:rsidRPr="00D87E36" w:rsidRDefault="000B6E18" w:rsidP="004E6795">
      <w:pPr>
        <w:spacing w:after="0" w:line="276" w:lineRule="auto"/>
        <w:rPr>
          <w:rFonts w:cstheme="minorHAnsi"/>
        </w:rPr>
      </w:pPr>
    </w:p>
    <w:p w:rsidR="004E6795" w:rsidRPr="00D87E36" w:rsidRDefault="004E6795" w:rsidP="004E6795">
      <w:pPr>
        <w:spacing w:after="0" w:line="276" w:lineRule="auto"/>
        <w:rPr>
          <w:rFonts w:cstheme="minorHAnsi"/>
        </w:rPr>
      </w:pPr>
      <w:r w:rsidRPr="00D87E36">
        <w:rPr>
          <w:rFonts w:cstheme="minorHAnsi"/>
        </w:rPr>
        <w:t xml:space="preserve">The four links in the OHCA ‘Chain of Survival’ are: </w:t>
      </w:r>
    </w:p>
    <w:p w:rsidR="004E6795" w:rsidRPr="00D87E36" w:rsidRDefault="004E6795" w:rsidP="004E6795">
      <w:pPr>
        <w:spacing w:after="0" w:line="276" w:lineRule="auto"/>
        <w:rPr>
          <w:rFonts w:cstheme="minorHAnsi"/>
        </w:rPr>
      </w:pPr>
      <w:r w:rsidRPr="00D87E36">
        <w:rPr>
          <w:rFonts w:cstheme="minorHAnsi"/>
        </w:rPr>
        <w:t xml:space="preserve">1. Early recognition of cardiac arrest and call for help </w:t>
      </w:r>
    </w:p>
    <w:p w:rsidR="004E6795" w:rsidRPr="00D87E36" w:rsidRDefault="004E6795" w:rsidP="004E6795">
      <w:pPr>
        <w:spacing w:after="0" w:line="276" w:lineRule="auto"/>
        <w:rPr>
          <w:rFonts w:cstheme="minorHAnsi"/>
        </w:rPr>
      </w:pPr>
      <w:r w:rsidRPr="00D87E36">
        <w:rPr>
          <w:rFonts w:cstheme="minorHAnsi"/>
        </w:rPr>
        <w:t xml:space="preserve">2. Early bystander cardiopulmonary resuscitation (CPR) </w:t>
      </w:r>
    </w:p>
    <w:p w:rsidR="004E6795" w:rsidRPr="00D87E36" w:rsidRDefault="004E6795" w:rsidP="004E6795">
      <w:pPr>
        <w:spacing w:after="0" w:line="276" w:lineRule="auto"/>
        <w:rPr>
          <w:rFonts w:cstheme="minorHAnsi"/>
        </w:rPr>
      </w:pPr>
      <w:r w:rsidRPr="00D87E36">
        <w:rPr>
          <w:rFonts w:cstheme="minorHAnsi"/>
        </w:rPr>
        <w:t xml:space="preserve">3. Early defibrillation </w:t>
      </w:r>
    </w:p>
    <w:p w:rsidR="004E6795" w:rsidRPr="00D87E36" w:rsidRDefault="004E6795" w:rsidP="004E6795">
      <w:pPr>
        <w:spacing w:after="0" w:line="276" w:lineRule="auto"/>
        <w:rPr>
          <w:rFonts w:cstheme="minorHAnsi"/>
        </w:rPr>
      </w:pPr>
      <w:r w:rsidRPr="00D87E36">
        <w:rPr>
          <w:rFonts w:cstheme="minorHAnsi"/>
        </w:rPr>
        <w:t>4. Early advanced life support and standardised post-resuscitation care</w:t>
      </w:r>
    </w:p>
    <w:p w:rsidR="004E6795" w:rsidRPr="00D87E36" w:rsidRDefault="004E6795" w:rsidP="004E6795">
      <w:pPr>
        <w:spacing w:after="0" w:line="276" w:lineRule="auto"/>
        <w:rPr>
          <w:rFonts w:cstheme="minorHAnsi"/>
        </w:rPr>
      </w:pPr>
    </w:p>
    <w:p w:rsidR="001A6B9A" w:rsidRPr="00D87E36" w:rsidRDefault="004E6795" w:rsidP="004E6795">
      <w:pPr>
        <w:spacing w:after="0" w:line="276" w:lineRule="auto"/>
        <w:rPr>
          <w:rFonts w:cstheme="minorHAnsi"/>
        </w:rPr>
      </w:pPr>
      <w:r w:rsidRPr="00D87E36">
        <w:rPr>
          <w:rFonts w:cstheme="minorHAnsi"/>
        </w:rPr>
        <w:t>Since 2013, the Out-of-Hospital Cardiac Arrest Outcomes (OHCAO) Registry has been collecting comprehensive data annually covering the first three links in the ‘Chain of Survival’.</w:t>
      </w:r>
      <w:r w:rsidR="000B6E18" w:rsidRPr="00D87E36">
        <w:rPr>
          <w:rFonts w:cstheme="minorHAnsi"/>
        </w:rPr>
        <w:t xml:space="preserve"> </w:t>
      </w:r>
      <w:r w:rsidRPr="00D87E36">
        <w:rPr>
          <w:rFonts w:cstheme="minorHAnsi"/>
        </w:rPr>
        <w:t>The fourth link in the ‘Chain of Survival’ requires trained individuals to provide advanced life support and includes the subsequent in-hospital care of OHCA once ROSC has been achieved. The lack of an ICD-10 code for OHCA makes it difficult to identify this group of patients retrospectively on routine national data collections.</w:t>
      </w:r>
      <w:r w:rsidR="000B6E18" w:rsidRPr="00D87E36">
        <w:rPr>
          <w:rFonts w:cstheme="minorHAnsi"/>
        </w:rPr>
        <w:t xml:space="preserve"> </w:t>
      </w:r>
    </w:p>
    <w:p w:rsidR="001A6B9A" w:rsidRPr="00D87E36" w:rsidRDefault="00027D03" w:rsidP="004E6795">
      <w:pPr>
        <w:spacing w:after="0" w:line="276" w:lineRule="auto"/>
        <w:rPr>
          <w:rFonts w:cstheme="minorHAnsi"/>
        </w:rPr>
      </w:pPr>
      <w:r w:rsidRPr="00D87E36">
        <w:rPr>
          <w:rFonts w:cstheme="minorHAnsi"/>
        </w:rPr>
        <w:t xml:space="preserve">The NCEPOD study </w:t>
      </w:r>
      <w:r w:rsidR="001A6B9A" w:rsidRPr="00D87E36">
        <w:rPr>
          <w:rFonts w:cstheme="minorHAnsi"/>
        </w:rPr>
        <w:t>focuses on the fourth link and addresses the following aspects of care</w:t>
      </w:r>
      <w:r w:rsidRPr="00D87E36">
        <w:rPr>
          <w:rFonts w:cstheme="minorHAnsi"/>
        </w:rPr>
        <w:t>:</w:t>
      </w:r>
    </w:p>
    <w:p w:rsidR="004E6795" w:rsidRPr="00D87E36" w:rsidRDefault="001A6B9A" w:rsidP="00027D03">
      <w:pPr>
        <w:pStyle w:val="ListParagraph"/>
        <w:numPr>
          <w:ilvl w:val="0"/>
          <w:numId w:val="7"/>
        </w:numPr>
        <w:spacing w:after="0" w:line="276" w:lineRule="auto"/>
        <w:rPr>
          <w:rFonts w:cstheme="minorHAnsi"/>
        </w:rPr>
      </w:pPr>
      <w:r w:rsidRPr="00D87E36">
        <w:rPr>
          <w:rFonts w:cstheme="minorHAnsi"/>
        </w:rPr>
        <w:t>P</w:t>
      </w:r>
      <w:r w:rsidR="000B6E18" w:rsidRPr="00D87E36">
        <w:rPr>
          <w:rFonts w:cstheme="minorHAnsi"/>
        </w:rPr>
        <w:t xml:space="preserve">ercutaneous coronary intervention (PCI) for acute coronary syndromes </w:t>
      </w:r>
    </w:p>
    <w:p w:rsidR="00027D03" w:rsidRPr="00D87E36" w:rsidRDefault="00C84125" w:rsidP="00B5549C">
      <w:pPr>
        <w:pStyle w:val="ListParagraph"/>
        <w:numPr>
          <w:ilvl w:val="0"/>
          <w:numId w:val="7"/>
        </w:numPr>
        <w:spacing w:after="0" w:line="276" w:lineRule="auto"/>
        <w:rPr>
          <w:rFonts w:cstheme="minorHAnsi"/>
        </w:rPr>
      </w:pPr>
      <w:r w:rsidRPr="00D87E36">
        <w:rPr>
          <w:rFonts w:cstheme="minorHAnsi"/>
        </w:rPr>
        <w:t>T</w:t>
      </w:r>
      <w:r w:rsidR="00027D03" w:rsidRPr="00D87E36">
        <w:rPr>
          <w:rFonts w:cstheme="minorHAnsi"/>
        </w:rPr>
        <w:t xml:space="preserve">argeted temperature management </w:t>
      </w:r>
    </w:p>
    <w:p w:rsidR="00242899" w:rsidRPr="00D87E36" w:rsidRDefault="00027D03" w:rsidP="00F72BB0">
      <w:pPr>
        <w:pStyle w:val="ListParagraph"/>
        <w:numPr>
          <w:ilvl w:val="0"/>
          <w:numId w:val="7"/>
        </w:numPr>
        <w:spacing w:after="0" w:line="276" w:lineRule="auto"/>
        <w:rPr>
          <w:rFonts w:cstheme="minorHAnsi"/>
        </w:rPr>
      </w:pPr>
      <w:r w:rsidRPr="00D87E36">
        <w:rPr>
          <w:rFonts w:cstheme="minorHAnsi"/>
        </w:rPr>
        <w:t xml:space="preserve">For patients who are comatose, neurological prognosis using a multi-modal approach, and decisions regarding neurological prognosis </w:t>
      </w:r>
      <w:r w:rsidR="00C84125" w:rsidRPr="00D87E36">
        <w:rPr>
          <w:rFonts w:cstheme="minorHAnsi"/>
        </w:rPr>
        <w:t xml:space="preserve">being </w:t>
      </w:r>
      <w:r w:rsidRPr="00D87E36">
        <w:rPr>
          <w:rFonts w:cstheme="minorHAnsi"/>
        </w:rPr>
        <w:t>deferred until at least 72 hours after ROSC.</w:t>
      </w:r>
    </w:p>
    <w:p w:rsidR="00242899" w:rsidRPr="00D87E36" w:rsidRDefault="00242899" w:rsidP="00F72BB0">
      <w:pPr>
        <w:pStyle w:val="ListParagraph"/>
        <w:numPr>
          <w:ilvl w:val="0"/>
          <w:numId w:val="7"/>
        </w:numPr>
        <w:spacing w:after="0" w:line="276" w:lineRule="auto"/>
        <w:rPr>
          <w:rFonts w:cstheme="minorHAnsi"/>
        </w:rPr>
      </w:pPr>
      <w:r w:rsidRPr="00D87E36">
        <w:rPr>
          <w:rFonts w:cstheme="minorHAnsi"/>
        </w:rPr>
        <w:t>Assessment by a heart rhythm specialist</w:t>
      </w:r>
    </w:p>
    <w:p w:rsidR="00027D03" w:rsidRPr="00D87E36" w:rsidRDefault="00C84125" w:rsidP="00027D03">
      <w:pPr>
        <w:pStyle w:val="ListParagraph"/>
        <w:numPr>
          <w:ilvl w:val="0"/>
          <w:numId w:val="7"/>
        </w:numPr>
        <w:spacing w:after="0" w:line="276" w:lineRule="auto"/>
        <w:rPr>
          <w:rFonts w:cstheme="minorHAnsi"/>
        </w:rPr>
      </w:pPr>
      <w:r w:rsidRPr="00D87E36">
        <w:rPr>
          <w:rFonts w:cstheme="minorHAnsi"/>
        </w:rPr>
        <w:t>The a</w:t>
      </w:r>
      <w:r w:rsidR="00027D03" w:rsidRPr="00D87E36">
        <w:rPr>
          <w:rFonts w:cstheme="minorHAnsi"/>
        </w:rPr>
        <w:t>vailability of rehabilitation support</w:t>
      </w:r>
    </w:p>
    <w:p w:rsidR="000B6E18" w:rsidRPr="00D87E36" w:rsidRDefault="000B6E18" w:rsidP="000B6E18">
      <w:pPr>
        <w:spacing w:after="0" w:line="276" w:lineRule="auto"/>
        <w:rPr>
          <w:rFonts w:cstheme="minorHAnsi"/>
        </w:rPr>
      </w:pPr>
    </w:p>
    <w:p w:rsidR="00AE0602" w:rsidRPr="00D87E36" w:rsidRDefault="007338F0" w:rsidP="000B6E18">
      <w:pPr>
        <w:spacing w:after="0" w:line="276" w:lineRule="auto"/>
        <w:rPr>
          <w:rFonts w:cstheme="minorHAnsi"/>
          <w:b/>
        </w:rPr>
      </w:pPr>
      <w:r w:rsidRPr="00D87E36">
        <w:rPr>
          <w:rFonts w:cstheme="minorHAnsi"/>
          <w:b/>
        </w:rPr>
        <w:t>Patient population</w:t>
      </w:r>
    </w:p>
    <w:p w:rsidR="00FD2230" w:rsidRPr="00D87E36" w:rsidRDefault="00C84125" w:rsidP="00FD2230">
      <w:pPr>
        <w:spacing w:after="0" w:line="276" w:lineRule="auto"/>
        <w:rPr>
          <w:rFonts w:cstheme="minorHAnsi"/>
          <w:b/>
        </w:rPr>
      </w:pPr>
      <w:r w:rsidRPr="00D87E36">
        <w:rPr>
          <w:rFonts w:cstheme="minorHAnsi"/>
        </w:rPr>
        <w:t>Adult patients (aged 16 years and older) who arrived in hospital after sustaining an OHCA and achieved subsequent sustained return of spontaneous circulation (ROSC) for more than 20 minutes.</w:t>
      </w:r>
    </w:p>
    <w:p w:rsidR="00C84125" w:rsidRPr="00D87E36" w:rsidRDefault="00C84125" w:rsidP="00FD2230">
      <w:pPr>
        <w:spacing w:after="0" w:line="276" w:lineRule="auto"/>
        <w:rPr>
          <w:rFonts w:cstheme="minorHAnsi"/>
          <w:b/>
        </w:rPr>
      </w:pPr>
    </w:p>
    <w:p w:rsidR="00AE0602" w:rsidRPr="00D87E36" w:rsidRDefault="00AE0602" w:rsidP="00FD2230">
      <w:pPr>
        <w:spacing w:after="0" w:line="276" w:lineRule="auto"/>
        <w:rPr>
          <w:rFonts w:cstheme="minorHAnsi"/>
        </w:rPr>
      </w:pPr>
      <w:r w:rsidRPr="00D87E36">
        <w:rPr>
          <w:rFonts w:cstheme="minorHAnsi"/>
          <w:b/>
        </w:rPr>
        <w:t>Clinical issues</w:t>
      </w:r>
    </w:p>
    <w:p w:rsidR="005561A8" w:rsidRPr="00D87E36" w:rsidRDefault="00637519" w:rsidP="00687EB5">
      <w:pPr>
        <w:pStyle w:val="ListParagraph"/>
        <w:numPr>
          <w:ilvl w:val="0"/>
          <w:numId w:val="1"/>
        </w:numPr>
        <w:spacing w:after="0" w:line="276" w:lineRule="auto"/>
        <w:rPr>
          <w:rFonts w:cstheme="minorHAnsi"/>
        </w:rPr>
      </w:pPr>
      <w:r w:rsidRPr="00D87E36">
        <w:rPr>
          <w:rFonts w:cstheme="minorHAnsi"/>
        </w:rPr>
        <w:t>53.9</w:t>
      </w:r>
      <w:r w:rsidR="005561A8" w:rsidRPr="00D87E36">
        <w:rPr>
          <w:rFonts w:cstheme="minorHAnsi"/>
        </w:rPr>
        <w:t xml:space="preserve">% of </w:t>
      </w:r>
      <w:r w:rsidR="00991098" w:rsidRPr="00D87E36">
        <w:rPr>
          <w:rFonts w:cstheme="minorHAnsi"/>
        </w:rPr>
        <w:t xml:space="preserve">patients were </w:t>
      </w:r>
      <w:proofErr w:type="spellStart"/>
      <w:r w:rsidR="00991098" w:rsidRPr="00D87E36">
        <w:rPr>
          <w:rFonts w:cstheme="minorHAnsi"/>
        </w:rPr>
        <w:t>hyperoxaemic</w:t>
      </w:r>
      <w:proofErr w:type="spellEnd"/>
      <w:r w:rsidR="005561A8" w:rsidRPr="00D87E36">
        <w:rPr>
          <w:rFonts w:cstheme="minorHAnsi"/>
        </w:rPr>
        <w:t xml:space="preserve"> </w:t>
      </w:r>
      <w:r w:rsidR="00991098" w:rsidRPr="00D87E36">
        <w:rPr>
          <w:rFonts w:cstheme="minorHAnsi"/>
        </w:rPr>
        <w:t>on their arrival to the emergency department with an oxygen saturation of &gt;98%</w:t>
      </w:r>
    </w:p>
    <w:p w:rsidR="005561A8" w:rsidRPr="00D87E36" w:rsidRDefault="005561A8" w:rsidP="005561A8">
      <w:pPr>
        <w:pStyle w:val="ListParagraph"/>
        <w:numPr>
          <w:ilvl w:val="0"/>
          <w:numId w:val="1"/>
        </w:numPr>
        <w:spacing w:after="0" w:line="276" w:lineRule="auto"/>
        <w:rPr>
          <w:rFonts w:cstheme="minorHAnsi"/>
        </w:rPr>
      </w:pPr>
      <w:r w:rsidRPr="00D87E36">
        <w:rPr>
          <w:rFonts w:cstheme="minorHAnsi"/>
        </w:rPr>
        <w:t>2</w:t>
      </w:r>
      <w:r w:rsidR="00637519" w:rsidRPr="00D87E36">
        <w:rPr>
          <w:rFonts w:cstheme="minorHAnsi"/>
        </w:rPr>
        <w:t>6.9</w:t>
      </w:r>
      <w:r w:rsidRPr="00D87E36">
        <w:rPr>
          <w:rFonts w:cstheme="minorHAnsi"/>
        </w:rPr>
        <w:t>% of patients were taken to the cardiac catheter laboratory during their admission</w:t>
      </w:r>
    </w:p>
    <w:p w:rsidR="005561A8" w:rsidRPr="00D87E36" w:rsidRDefault="005561A8" w:rsidP="005561A8">
      <w:pPr>
        <w:pStyle w:val="ListParagraph"/>
        <w:numPr>
          <w:ilvl w:val="1"/>
          <w:numId w:val="1"/>
        </w:numPr>
        <w:spacing w:after="0" w:line="276" w:lineRule="auto"/>
        <w:rPr>
          <w:rFonts w:cstheme="minorHAnsi"/>
        </w:rPr>
      </w:pPr>
      <w:r w:rsidRPr="00D87E36">
        <w:rPr>
          <w:rFonts w:cstheme="minorHAnsi"/>
        </w:rPr>
        <w:t>The case reviewers considered that there was a delay in the patient going to the</w:t>
      </w:r>
      <w:r w:rsidR="00637519" w:rsidRPr="00D87E36">
        <w:rPr>
          <w:rFonts w:cstheme="minorHAnsi"/>
        </w:rPr>
        <w:t xml:space="preserve"> catheter laboratory in 24.8</w:t>
      </w:r>
      <w:r w:rsidRPr="00D87E36">
        <w:rPr>
          <w:rFonts w:cstheme="minorHAnsi"/>
        </w:rPr>
        <w:t xml:space="preserve">% </w:t>
      </w:r>
    </w:p>
    <w:p w:rsidR="003A2537" w:rsidRPr="00D87E36" w:rsidRDefault="005561A8" w:rsidP="003A2537">
      <w:pPr>
        <w:pStyle w:val="ListParagraph"/>
        <w:numPr>
          <w:ilvl w:val="0"/>
          <w:numId w:val="1"/>
        </w:numPr>
        <w:spacing w:after="0" w:line="276" w:lineRule="auto"/>
        <w:rPr>
          <w:rFonts w:cstheme="minorHAnsi"/>
        </w:rPr>
      </w:pPr>
      <w:r w:rsidRPr="00D87E36">
        <w:rPr>
          <w:rFonts w:cstheme="minorHAnsi"/>
        </w:rPr>
        <w:t>Clinicians reported that only 49</w:t>
      </w:r>
      <w:r w:rsidR="00637519" w:rsidRPr="00D87E36">
        <w:rPr>
          <w:rFonts w:cstheme="minorHAnsi"/>
        </w:rPr>
        <w:t>.1</w:t>
      </w:r>
      <w:r w:rsidRPr="00D87E36">
        <w:rPr>
          <w:rFonts w:cstheme="minorHAnsi"/>
        </w:rPr>
        <w:t xml:space="preserve">% of patients admitted to critical care had TTM </w:t>
      </w:r>
    </w:p>
    <w:p w:rsidR="00637519" w:rsidRPr="00D87E36" w:rsidRDefault="00637519" w:rsidP="003A2537">
      <w:pPr>
        <w:pStyle w:val="ListParagraph"/>
        <w:numPr>
          <w:ilvl w:val="1"/>
          <w:numId w:val="1"/>
        </w:numPr>
        <w:spacing w:after="0" w:line="276" w:lineRule="auto"/>
        <w:rPr>
          <w:rFonts w:cstheme="minorHAnsi"/>
        </w:rPr>
      </w:pPr>
      <w:r w:rsidRPr="00D87E36">
        <w:rPr>
          <w:rFonts w:cstheme="minorHAnsi"/>
        </w:rPr>
        <w:lastRenderedPageBreak/>
        <w:t>Case reviewers rated the temperature managemen</w:t>
      </w:r>
      <w:r w:rsidR="003A2537" w:rsidRPr="00D87E36">
        <w:rPr>
          <w:rFonts w:cstheme="minorHAnsi"/>
        </w:rPr>
        <w:t>t as ‘good’ in only 18.7</w:t>
      </w:r>
      <w:r w:rsidRPr="00D87E36">
        <w:rPr>
          <w:rFonts w:cstheme="minorHAnsi"/>
        </w:rPr>
        <w:t>% patients and as ‘poor</w:t>
      </w:r>
      <w:r w:rsidR="003A2537" w:rsidRPr="00D87E36">
        <w:rPr>
          <w:rFonts w:cstheme="minorHAnsi"/>
        </w:rPr>
        <w:t>’ or ‘unacceptable’ in 57.5</w:t>
      </w:r>
      <w:r w:rsidRPr="00D87E36">
        <w:rPr>
          <w:rFonts w:cstheme="minorHAnsi"/>
        </w:rPr>
        <w:t>%</w:t>
      </w:r>
    </w:p>
    <w:p w:rsidR="00637519" w:rsidRPr="00D87E36" w:rsidRDefault="00637519" w:rsidP="00637519">
      <w:pPr>
        <w:pStyle w:val="ListParagraph"/>
        <w:numPr>
          <w:ilvl w:val="0"/>
          <w:numId w:val="1"/>
        </w:numPr>
        <w:spacing w:after="0" w:line="276" w:lineRule="auto"/>
        <w:rPr>
          <w:rFonts w:cstheme="minorHAnsi"/>
        </w:rPr>
      </w:pPr>
      <w:r w:rsidRPr="00D87E36">
        <w:rPr>
          <w:rFonts w:cstheme="minorHAnsi"/>
        </w:rPr>
        <w:t>Formal prognostication took place in only 48</w:t>
      </w:r>
      <w:r w:rsidR="003A2537" w:rsidRPr="00D87E36">
        <w:rPr>
          <w:rFonts w:cstheme="minorHAnsi"/>
        </w:rPr>
        <w:t>.0</w:t>
      </w:r>
      <w:r w:rsidRPr="00D87E36">
        <w:rPr>
          <w:rFonts w:cstheme="minorHAnsi"/>
        </w:rPr>
        <w:t>% of patients</w:t>
      </w:r>
    </w:p>
    <w:p w:rsidR="00637519" w:rsidRPr="00D87E36" w:rsidRDefault="00637519" w:rsidP="00637519">
      <w:pPr>
        <w:pStyle w:val="ListParagraph"/>
        <w:numPr>
          <w:ilvl w:val="1"/>
          <w:numId w:val="1"/>
        </w:numPr>
        <w:spacing w:after="0" w:line="276" w:lineRule="auto"/>
        <w:rPr>
          <w:rFonts w:cstheme="minorHAnsi"/>
        </w:rPr>
      </w:pPr>
      <w:r w:rsidRPr="00D87E36">
        <w:rPr>
          <w:rFonts w:cstheme="minorHAnsi"/>
        </w:rPr>
        <w:t xml:space="preserve">Case reviewers considered that the timing of </w:t>
      </w:r>
      <w:proofErr w:type="spellStart"/>
      <w:r w:rsidRPr="00D87E36">
        <w:rPr>
          <w:rFonts w:cstheme="minorHAnsi"/>
        </w:rPr>
        <w:t>neuroprognostication</w:t>
      </w:r>
      <w:proofErr w:type="spellEnd"/>
      <w:r w:rsidRPr="00D87E36">
        <w:rPr>
          <w:rFonts w:cstheme="minorHAnsi"/>
        </w:rPr>
        <w:t xml:space="preserve"> was not appropriate for 19.8% patients </w:t>
      </w:r>
    </w:p>
    <w:p w:rsidR="00C27F62" w:rsidRPr="00D87E36" w:rsidRDefault="00535AE3" w:rsidP="00FD2230">
      <w:pPr>
        <w:pStyle w:val="ListParagraph"/>
        <w:numPr>
          <w:ilvl w:val="0"/>
          <w:numId w:val="1"/>
        </w:numPr>
        <w:spacing w:after="0" w:line="276" w:lineRule="auto"/>
        <w:rPr>
          <w:rFonts w:cstheme="minorHAnsi"/>
        </w:rPr>
      </w:pPr>
      <w:r w:rsidRPr="00D87E36">
        <w:rPr>
          <w:rFonts w:cstheme="minorHAnsi"/>
        </w:rPr>
        <w:t xml:space="preserve">Documentation of the rehabilitation offered to patients was poor. Furthermore not all patients received appropriate rehabilitation </w:t>
      </w:r>
    </w:p>
    <w:p w:rsidR="00535AE3" w:rsidRPr="00D87E36" w:rsidRDefault="00535AE3" w:rsidP="00535AE3">
      <w:pPr>
        <w:pStyle w:val="ListParagraph"/>
        <w:numPr>
          <w:ilvl w:val="1"/>
          <w:numId w:val="1"/>
        </w:numPr>
        <w:spacing w:after="0" w:line="276" w:lineRule="auto"/>
        <w:rPr>
          <w:rFonts w:cstheme="minorHAnsi"/>
        </w:rPr>
      </w:pPr>
      <w:r w:rsidRPr="00D87E36">
        <w:rPr>
          <w:rFonts w:cstheme="minorHAnsi"/>
        </w:rPr>
        <w:t>Cardiac rehabilitation was offered, where this was applicable, to 59.0% of survivors within three months of discharge</w:t>
      </w:r>
    </w:p>
    <w:p w:rsidR="00535AE3" w:rsidRPr="00D87E36" w:rsidRDefault="00535AE3" w:rsidP="00535AE3">
      <w:pPr>
        <w:pStyle w:val="ListParagraph"/>
        <w:numPr>
          <w:ilvl w:val="1"/>
          <w:numId w:val="1"/>
        </w:numPr>
        <w:spacing w:after="0" w:line="276" w:lineRule="auto"/>
        <w:rPr>
          <w:rFonts w:cstheme="minorHAnsi"/>
        </w:rPr>
      </w:pPr>
      <w:r w:rsidRPr="00D87E36">
        <w:rPr>
          <w:rFonts w:cstheme="minorHAnsi"/>
        </w:rPr>
        <w:t>29.4% of survivors were assessed for neurological rehabilitation</w:t>
      </w:r>
    </w:p>
    <w:p w:rsidR="00535AE3" w:rsidRPr="00D87E36" w:rsidRDefault="00535AE3" w:rsidP="00535AE3">
      <w:pPr>
        <w:pStyle w:val="ListParagraph"/>
        <w:numPr>
          <w:ilvl w:val="1"/>
          <w:numId w:val="1"/>
        </w:numPr>
        <w:spacing w:after="0" w:line="276" w:lineRule="auto"/>
        <w:rPr>
          <w:rFonts w:cstheme="minorHAnsi"/>
        </w:rPr>
      </w:pPr>
      <w:r w:rsidRPr="00D87E36">
        <w:rPr>
          <w:rFonts w:cstheme="minorHAnsi"/>
        </w:rPr>
        <w:t>20.0% of survivors were offered psychological review</w:t>
      </w:r>
    </w:p>
    <w:p w:rsidR="00AE0602" w:rsidRPr="00D87E36" w:rsidRDefault="00AE0602" w:rsidP="00FD2230">
      <w:pPr>
        <w:spacing w:after="0" w:line="276" w:lineRule="auto"/>
        <w:rPr>
          <w:rFonts w:cstheme="minorHAnsi"/>
        </w:rPr>
      </w:pPr>
    </w:p>
    <w:p w:rsidR="00AE0602" w:rsidRPr="00D87E36" w:rsidRDefault="00AE0602" w:rsidP="00FD2230">
      <w:pPr>
        <w:spacing w:after="0" w:line="276" w:lineRule="auto"/>
        <w:rPr>
          <w:rFonts w:cstheme="minorHAnsi"/>
        </w:rPr>
      </w:pPr>
      <w:r w:rsidRPr="00D87E36">
        <w:rPr>
          <w:rFonts w:cstheme="minorHAnsi"/>
          <w:b/>
        </w:rPr>
        <w:t>Organisational issues</w:t>
      </w:r>
    </w:p>
    <w:p w:rsidR="000E1157" w:rsidRPr="00D87E36" w:rsidRDefault="00DC3CD8" w:rsidP="00DC3CD8">
      <w:pPr>
        <w:pStyle w:val="ListParagraph"/>
        <w:numPr>
          <w:ilvl w:val="0"/>
          <w:numId w:val="1"/>
        </w:numPr>
        <w:spacing w:after="0" w:line="276" w:lineRule="auto"/>
        <w:rPr>
          <w:rFonts w:cstheme="minorHAnsi"/>
        </w:rPr>
      </w:pPr>
      <w:r w:rsidRPr="00D87E36">
        <w:rPr>
          <w:rFonts w:cstheme="minorHAnsi"/>
        </w:rPr>
        <w:t xml:space="preserve">At only 36.5% of hospitals was an electronic system in place for advanced care directives that included DNACPR decisions </w:t>
      </w:r>
    </w:p>
    <w:p w:rsidR="005B1E3B" w:rsidRPr="00D87E36" w:rsidRDefault="002E3F96" w:rsidP="002E3F96">
      <w:pPr>
        <w:pStyle w:val="ListParagraph"/>
        <w:numPr>
          <w:ilvl w:val="0"/>
          <w:numId w:val="1"/>
        </w:numPr>
        <w:spacing w:after="0" w:line="276" w:lineRule="auto"/>
        <w:rPr>
          <w:rFonts w:cstheme="minorHAnsi"/>
        </w:rPr>
      </w:pPr>
      <w:r w:rsidRPr="00D87E36">
        <w:rPr>
          <w:rFonts w:cstheme="minorHAnsi"/>
        </w:rPr>
        <w:t>A policy for targeted temperature managem</w:t>
      </w:r>
      <w:r w:rsidR="007431D7" w:rsidRPr="00D87E36">
        <w:rPr>
          <w:rFonts w:cstheme="minorHAnsi"/>
        </w:rPr>
        <w:t>ent was available at</w:t>
      </w:r>
      <w:r w:rsidRPr="00D87E36">
        <w:rPr>
          <w:rFonts w:cstheme="minorHAnsi"/>
        </w:rPr>
        <w:t xml:space="preserve"> 77.8% hospitals </w:t>
      </w:r>
    </w:p>
    <w:p w:rsidR="00EE74A8" w:rsidRPr="00D87E36" w:rsidRDefault="007431D7" w:rsidP="007431D7">
      <w:pPr>
        <w:pStyle w:val="ListParagraph"/>
        <w:numPr>
          <w:ilvl w:val="0"/>
          <w:numId w:val="1"/>
        </w:numPr>
        <w:spacing w:after="0" w:line="276" w:lineRule="auto"/>
        <w:rPr>
          <w:rFonts w:cstheme="minorHAnsi"/>
        </w:rPr>
      </w:pPr>
      <w:r w:rsidRPr="00D87E36">
        <w:rPr>
          <w:rFonts w:cstheme="minorHAnsi"/>
        </w:rPr>
        <w:t xml:space="preserve">In hospitals from which an answer was received, neurorehabilitation was not available in 18.2% hospitals and psychological support was not available in 51.2% </w:t>
      </w:r>
    </w:p>
    <w:p w:rsidR="00FD2230" w:rsidRPr="00D87E36" w:rsidRDefault="00FD2230" w:rsidP="00FD2230">
      <w:pPr>
        <w:spacing w:after="0" w:line="276" w:lineRule="auto"/>
        <w:rPr>
          <w:rFonts w:cstheme="minorHAnsi"/>
          <w:b/>
        </w:rPr>
      </w:pPr>
    </w:p>
    <w:p w:rsidR="00D6293A" w:rsidRPr="00D87E36" w:rsidRDefault="00D51AFA" w:rsidP="00FD2230">
      <w:pPr>
        <w:spacing w:after="0" w:line="276" w:lineRule="auto"/>
        <w:rPr>
          <w:rFonts w:cstheme="minorHAnsi"/>
          <w:b/>
        </w:rPr>
      </w:pPr>
      <w:r w:rsidRPr="00D87E36">
        <w:rPr>
          <w:rFonts w:cstheme="minorHAnsi"/>
          <w:b/>
        </w:rPr>
        <w:t>Key features of a service</w:t>
      </w:r>
    </w:p>
    <w:p w:rsidR="00D87E36" w:rsidRPr="00D87E36" w:rsidRDefault="00D87E36" w:rsidP="00FD2230">
      <w:pPr>
        <w:spacing w:after="0" w:line="276" w:lineRule="auto"/>
        <w:rPr>
          <w:rFonts w:cstheme="minorHAnsi"/>
          <w:b/>
        </w:rPr>
      </w:pPr>
    </w:p>
    <w:p w:rsidR="00D87E36" w:rsidRPr="00D87E36" w:rsidRDefault="00D87E36" w:rsidP="00D87E36">
      <w:pPr>
        <w:spacing w:after="0" w:line="276" w:lineRule="auto"/>
        <w:rPr>
          <w:rFonts w:cstheme="minorHAnsi"/>
          <w:b/>
        </w:rPr>
      </w:pPr>
      <w:r w:rsidRPr="00D87E36">
        <w:rPr>
          <w:rFonts w:cstheme="minorHAnsi"/>
          <w:bCs/>
          <w:iCs/>
        </w:rPr>
        <w:t>1.</w:t>
      </w:r>
      <w:r w:rsidRPr="00D87E36">
        <w:rPr>
          <w:rFonts w:cstheme="minorHAnsi"/>
          <w:b/>
          <w:bCs/>
          <w:i/>
          <w:iCs/>
        </w:rPr>
        <w:t xml:space="preserve"> Bystander Cardiopulmonary Resuscitation (CPR) </w:t>
      </w:r>
    </w:p>
    <w:p w:rsidR="00D87E36" w:rsidRPr="00D87E36" w:rsidRDefault="00D87E36" w:rsidP="00D87E36">
      <w:pPr>
        <w:spacing w:after="0" w:line="276" w:lineRule="auto"/>
        <w:rPr>
          <w:rFonts w:cstheme="minorHAnsi"/>
        </w:rPr>
      </w:pPr>
      <w:r w:rsidRPr="00D87E36">
        <w:rPr>
          <w:rFonts w:cstheme="minorHAnsi"/>
        </w:rPr>
        <w:t>Ongoing strategies are needed at a population level to ensure that people who sustain an OHCA are treated rapidly with high quality resuscitation, including defibrillation, through a co-ordinated network of accessible and identifiable public access devices.</w:t>
      </w:r>
    </w:p>
    <w:p w:rsidR="00D87E36" w:rsidRPr="00D87E36" w:rsidRDefault="00D87E36" w:rsidP="00D87E36">
      <w:pPr>
        <w:spacing w:after="0" w:line="276" w:lineRule="auto"/>
        <w:rPr>
          <w:rFonts w:cstheme="minorHAnsi"/>
          <w:b/>
        </w:rPr>
      </w:pPr>
    </w:p>
    <w:p w:rsidR="00D6293A" w:rsidRPr="00D87E36" w:rsidRDefault="00D87E36" w:rsidP="00D6293A">
      <w:pPr>
        <w:spacing w:after="0" w:line="276" w:lineRule="auto"/>
        <w:rPr>
          <w:rFonts w:cstheme="minorHAnsi"/>
          <w:lang w:val="en-US"/>
        </w:rPr>
      </w:pPr>
      <w:r w:rsidRPr="00D87E36">
        <w:rPr>
          <w:rFonts w:cstheme="minorHAnsi"/>
          <w:lang w:val="en-US"/>
        </w:rPr>
        <w:t>2</w:t>
      </w:r>
      <w:r w:rsidR="00FD2230" w:rsidRPr="00D87E36">
        <w:rPr>
          <w:rFonts w:cstheme="minorHAnsi"/>
          <w:lang w:val="en-US"/>
        </w:rPr>
        <w:t xml:space="preserve">. </w:t>
      </w:r>
      <w:r w:rsidR="00D6293A" w:rsidRPr="00D87E36">
        <w:rPr>
          <w:rFonts w:cstheme="minorHAnsi"/>
          <w:b/>
          <w:lang w:val="en-US"/>
        </w:rPr>
        <w:t>Advance treatment plans</w:t>
      </w:r>
    </w:p>
    <w:p w:rsidR="00D51AFA" w:rsidRPr="00D87E36" w:rsidRDefault="00D6293A" w:rsidP="00D6293A">
      <w:pPr>
        <w:spacing w:after="0" w:line="276" w:lineRule="auto"/>
        <w:rPr>
          <w:rFonts w:cstheme="minorHAnsi"/>
          <w:lang w:val="en-US"/>
        </w:rPr>
      </w:pPr>
      <w:r w:rsidRPr="00D87E36">
        <w:rPr>
          <w:rFonts w:cstheme="minorHAnsi"/>
          <w:lang w:val="en-US"/>
        </w:rPr>
        <w:t xml:space="preserve">When advance treatment plans are in place, they should be documented using a standard process (such as the </w:t>
      </w:r>
      <w:proofErr w:type="spellStart"/>
      <w:r w:rsidRPr="00D87E36">
        <w:rPr>
          <w:rFonts w:cstheme="minorHAnsi"/>
          <w:lang w:val="en-US"/>
        </w:rPr>
        <w:t>ReSPECT</w:t>
      </w:r>
      <w:proofErr w:type="spellEnd"/>
      <w:r w:rsidRPr="00D87E36">
        <w:rPr>
          <w:rFonts w:cstheme="minorHAnsi"/>
          <w:lang w:val="en-US"/>
        </w:rPr>
        <w:t xml:space="preserve"> form) to ensure that people receive treatments based on what matters to them and what is realistic. Effective communication between all parts of the healthcare system,</w:t>
      </w:r>
      <w:r w:rsidRPr="00D87E36">
        <w:t xml:space="preserve"> </w:t>
      </w:r>
      <w:r w:rsidRPr="00D87E36">
        <w:rPr>
          <w:rFonts w:cstheme="minorHAnsi"/>
          <w:lang w:val="en-US"/>
        </w:rPr>
        <w:t>including, primary care, community services, ambulance services and acute hospitals is then needed to ensure that appropriate decisions are made, irrespective of time or location.</w:t>
      </w:r>
      <w:r w:rsidR="00912678" w:rsidRPr="00D87E36">
        <w:rPr>
          <w:rFonts w:cstheme="minorHAnsi"/>
          <w:lang w:val="en-US"/>
        </w:rPr>
        <w:t>.</w:t>
      </w:r>
    </w:p>
    <w:p w:rsidR="00FD2230" w:rsidRPr="00D87E36" w:rsidRDefault="00FD2230" w:rsidP="00FD2230">
      <w:pPr>
        <w:spacing w:after="0" w:line="276" w:lineRule="auto"/>
        <w:rPr>
          <w:rFonts w:cstheme="minorHAnsi"/>
          <w:lang w:val="en-US"/>
        </w:rPr>
      </w:pPr>
    </w:p>
    <w:p w:rsidR="00D6293A" w:rsidRPr="00D87E36" w:rsidRDefault="00D87E36" w:rsidP="00D6293A">
      <w:pPr>
        <w:spacing w:after="0" w:line="276" w:lineRule="auto"/>
        <w:rPr>
          <w:rFonts w:cstheme="minorHAnsi"/>
          <w:lang w:val="en-US"/>
        </w:rPr>
      </w:pPr>
      <w:r w:rsidRPr="00D87E36">
        <w:rPr>
          <w:rFonts w:cstheme="minorHAnsi"/>
          <w:lang w:val="en-US"/>
        </w:rPr>
        <w:t>3</w:t>
      </w:r>
      <w:r w:rsidR="00D6293A" w:rsidRPr="00D87E36">
        <w:t xml:space="preserve">. </w:t>
      </w:r>
      <w:r w:rsidR="00D6293A" w:rsidRPr="00D87E36">
        <w:rPr>
          <w:rFonts w:cstheme="minorHAnsi"/>
          <w:b/>
          <w:lang w:val="en-US"/>
        </w:rPr>
        <w:t>Prediction of survival</w:t>
      </w:r>
    </w:p>
    <w:p w:rsidR="00FD2230" w:rsidRPr="00D87E36" w:rsidRDefault="00D6293A" w:rsidP="00D6293A">
      <w:pPr>
        <w:spacing w:after="0" w:line="276" w:lineRule="auto"/>
        <w:rPr>
          <w:rFonts w:cstheme="minorHAnsi"/>
          <w:lang w:val="en-US"/>
        </w:rPr>
      </w:pPr>
      <w:r w:rsidRPr="00D87E36">
        <w:rPr>
          <w:rFonts w:cstheme="minorHAnsi"/>
          <w:lang w:val="en-US"/>
        </w:rPr>
        <w:t>No single factor is accurate enough for clinical decision-making at the time of admission to hospital following an OHCA. Time is needed to ensure an accurate assessment of prognosis can be made. Neurological prognosis is particularly difficult to assess, and this should be delayed for at least 72 hours after return of spontaneous circulation.</w:t>
      </w:r>
    </w:p>
    <w:p w:rsidR="00D6293A" w:rsidRPr="00D87E36" w:rsidRDefault="00D6293A" w:rsidP="00D6293A">
      <w:pPr>
        <w:spacing w:after="0" w:line="276" w:lineRule="auto"/>
        <w:rPr>
          <w:rFonts w:cstheme="minorHAnsi"/>
          <w:lang w:val="en-US"/>
        </w:rPr>
      </w:pPr>
    </w:p>
    <w:p w:rsidR="00D6293A" w:rsidRPr="00D87E36" w:rsidRDefault="00D87E36" w:rsidP="00D6293A">
      <w:pPr>
        <w:spacing w:after="0" w:line="276" w:lineRule="auto"/>
        <w:rPr>
          <w:rFonts w:cstheme="minorHAnsi"/>
          <w:lang w:val="en-US"/>
        </w:rPr>
      </w:pPr>
      <w:r w:rsidRPr="00D87E36">
        <w:rPr>
          <w:rFonts w:cstheme="minorHAnsi"/>
          <w:lang w:val="en-US"/>
        </w:rPr>
        <w:t>4</w:t>
      </w:r>
      <w:r w:rsidR="00FD2230" w:rsidRPr="00D87E36">
        <w:rPr>
          <w:rFonts w:cstheme="minorHAnsi"/>
          <w:lang w:val="en-US"/>
        </w:rPr>
        <w:t xml:space="preserve">. </w:t>
      </w:r>
      <w:r w:rsidR="00D6293A" w:rsidRPr="00D87E36">
        <w:rPr>
          <w:rFonts w:cstheme="minorHAnsi"/>
          <w:b/>
          <w:lang w:val="en-US"/>
        </w:rPr>
        <w:t>Targeted temperature management</w:t>
      </w:r>
    </w:p>
    <w:p w:rsidR="00EE74A8" w:rsidRPr="00D87E36" w:rsidRDefault="00D6293A" w:rsidP="00D6293A">
      <w:pPr>
        <w:spacing w:after="0" w:line="276" w:lineRule="auto"/>
        <w:rPr>
          <w:rFonts w:cstheme="minorHAnsi"/>
          <w:lang w:val="en-US"/>
        </w:rPr>
      </w:pPr>
      <w:r w:rsidRPr="00D87E36">
        <w:rPr>
          <w:rFonts w:cstheme="minorHAnsi"/>
          <w:lang w:val="en-US"/>
        </w:rPr>
        <w:t>Elevated temperature is common following an OHCA and is associated with a worse prognosis, but this can be improved by accurate, active temperature control. The current approach in clinical practice appears to be inconsistent and a more active approach is needed.</w:t>
      </w:r>
    </w:p>
    <w:p w:rsidR="00D6293A" w:rsidRPr="00D87E36" w:rsidRDefault="00D6293A" w:rsidP="00D6293A">
      <w:pPr>
        <w:spacing w:after="0" w:line="276" w:lineRule="auto"/>
        <w:rPr>
          <w:rFonts w:cstheme="minorHAnsi"/>
          <w:lang w:val="en-US"/>
        </w:rPr>
      </w:pPr>
    </w:p>
    <w:p w:rsidR="00D87E36" w:rsidRDefault="00D87E36" w:rsidP="00D6293A">
      <w:pPr>
        <w:spacing w:after="0" w:line="276" w:lineRule="auto"/>
        <w:rPr>
          <w:rFonts w:cstheme="minorHAnsi"/>
          <w:lang w:val="en-US"/>
        </w:rPr>
      </w:pPr>
    </w:p>
    <w:p w:rsidR="00D6293A" w:rsidRPr="00D87E36" w:rsidRDefault="00D87E36" w:rsidP="00D6293A">
      <w:pPr>
        <w:spacing w:after="0" w:line="276" w:lineRule="auto"/>
        <w:rPr>
          <w:rFonts w:cstheme="minorHAnsi"/>
          <w:lang w:val="en-US"/>
        </w:rPr>
      </w:pPr>
      <w:r w:rsidRPr="00D87E36">
        <w:rPr>
          <w:rFonts w:cstheme="minorHAnsi"/>
          <w:lang w:val="en-US"/>
        </w:rPr>
        <w:t>5</w:t>
      </w:r>
      <w:r w:rsidR="00FD2230" w:rsidRPr="00D87E36">
        <w:rPr>
          <w:rFonts w:cstheme="minorHAnsi"/>
          <w:lang w:val="en-US"/>
        </w:rPr>
        <w:t>.</w:t>
      </w:r>
      <w:r w:rsidR="00D6293A" w:rsidRPr="00D87E36">
        <w:t xml:space="preserve"> </w:t>
      </w:r>
      <w:r w:rsidR="00D6293A" w:rsidRPr="00D87E36">
        <w:rPr>
          <w:rFonts w:cstheme="minorHAnsi"/>
          <w:b/>
          <w:lang w:val="en-US"/>
        </w:rPr>
        <w:t>Rehabilitation</w:t>
      </w:r>
    </w:p>
    <w:p w:rsidR="00EE74A8" w:rsidRDefault="00D6293A" w:rsidP="00D6293A">
      <w:pPr>
        <w:spacing w:after="0" w:line="276" w:lineRule="auto"/>
        <w:rPr>
          <w:rFonts w:cstheme="minorHAnsi"/>
          <w:lang w:val="en-US"/>
        </w:rPr>
      </w:pPr>
      <w:r w:rsidRPr="00D87E36">
        <w:rPr>
          <w:rFonts w:cstheme="minorHAnsi"/>
          <w:lang w:val="en-US"/>
        </w:rPr>
        <w:t>Physical, neurological, cardiac and emotional impairment following an OHCA can all affect quality of survival, and patients benefit from targeted rehabilitation and support. In some areas of the UK there is no provision of these services. These gaps should be closed by local clinical teams and commissioners working together.</w:t>
      </w:r>
    </w:p>
    <w:p w:rsidR="00D87E36" w:rsidRPr="00D87E36" w:rsidRDefault="00D87E36" w:rsidP="00D6293A">
      <w:pPr>
        <w:spacing w:after="0" w:line="276" w:lineRule="auto"/>
        <w:rPr>
          <w:rFonts w:cstheme="minorHAnsi"/>
          <w:lang w:val="en-US"/>
        </w:rPr>
      </w:pPr>
    </w:p>
    <w:p w:rsidR="00D51AFA" w:rsidRPr="00D87E36" w:rsidRDefault="00FD2230" w:rsidP="00FD2230">
      <w:pPr>
        <w:spacing w:after="0" w:line="276" w:lineRule="auto"/>
        <w:rPr>
          <w:rFonts w:cstheme="minorHAnsi"/>
          <w:b/>
        </w:rPr>
      </w:pPr>
      <w:r w:rsidRPr="00D87E36">
        <w:rPr>
          <w:rFonts w:cstheme="minorHAnsi"/>
          <w:b/>
        </w:rPr>
        <w:lastRenderedPageBreak/>
        <w:t>Supporting n</w:t>
      </w:r>
      <w:r w:rsidR="00D51AFA" w:rsidRPr="00D87E36">
        <w:rPr>
          <w:rFonts w:cstheme="minorHAnsi"/>
          <w:b/>
        </w:rPr>
        <w:t>ational guidance and reports</w:t>
      </w:r>
    </w:p>
    <w:p w:rsidR="00121F34" w:rsidRPr="00D87E36" w:rsidRDefault="00121F34" w:rsidP="00FD2230">
      <w:pPr>
        <w:spacing w:after="0" w:line="276" w:lineRule="auto"/>
        <w:rPr>
          <w:rFonts w:cstheme="minorHAnsi"/>
          <w:b/>
        </w:rPr>
      </w:pPr>
    </w:p>
    <w:p w:rsidR="00365E05" w:rsidRPr="00D87E36" w:rsidRDefault="00D87E36" w:rsidP="009D6251">
      <w:pPr>
        <w:pStyle w:val="ListParagraph"/>
        <w:numPr>
          <w:ilvl w:val="0"/>
          <w:numId w:val="6"/>
        </w:numPr>
        <w:spacing w:after="0" w:line="276" w:lineRule="auto"/>
        <w:ind w:left="426"/>
        <w:rPr>
          <w:rFonts w:cstheme="minorHAnsi"/>
        </w:rPr>
      </w:pPr>
      <w:r w:rsidRPr="00D87E36">
        <w:rPr>
          <w:rFonts w:cs="Humanist 77 7 BT"/>
          <w:color w:val="000000"/>
        </w:rPr>
        <w:t xml:space="preserve">Resuscitation Council UK. Guideline: Prehospital </w:t>
      </w:r>
      <w:r w:rsidRPr="00D87E36">
        <w:rPr>
          <w:rFonts w:cs="Humanist 77 7 BT"/>
          <w:color w:val="211D1E"/>
        </w:rPr>
        <w:t>resuscitation. 2015</w:t>
      </w:r>
      <w:r w:rsidRPr="00D87E36">
        <w:rPr>
          <w:rFonts w:cs="Humanist 77 7 BT"/>
          <w:color w:val="211D1E"/>
        </w:rPr>
        <w:t xml:space="preserve"> </w:t>
      </w:r>
      <w:hyperlink r:id="rId8" w:anchor="post" w:history="1">
        <w:r w:rsidR="00365E05" w:rsidRPr="00D87E36">
          <w:rPr>
            <w:rStyle w:val="Hyperlink"/>
            <w:rFonts w:cstheme="minorHAnsi"/>
          </w:rPr>
          <w:t>https://www.resus.org.uk/resuscitation-guidelines/prehospital-resuscitation/#post</w:t>
        </w:r>
      </w:hyperlink>
      <w:r w:rsidR="00365E05" w:rsidRPr="00D87E36">
        <w:rPr>
          <w:rFonts w:cstheme="minorHAnsi"/>
        </w:rPr>
        <w:t xml:space="preserve"> </w:t>
      </w:r>
    </w:p>
    <w:p w:rsidR="00DC6728" w:rsidRPr="00D87E36" w:rsidRDefault="00D87E36" w:rsidP="00DC6728">
      <w:pPr>
        <w:pStyle w:val="ListParagraph"/>
        <w:numPr>
          <w:ilvl w:val="0"/>
          <w:numId w:val="6"/>
        </w:numPr>
        <w:spacing w:after="0" w:line="276" w:lineRule="auto"/>
        <w:ind w:left="426"/>
        <w:rPr>
          <w:rFonts w:cstheme="minorHAnsi"/>
        </w:rPr>
      </w:pPr>
      <w:r w:rsidRPr="00D87E36">
        <w:rPr>
          <w:rFonts w:cs="Humanist 77 7 BT"/>
          <w:color w:val="000000"/>
        </w:rPr>
        <w:t>Resuscitation Council UK. Guideline: P</w:t>
      </w:r>
      <w:r>
        <w:rPr>
          <w:rFonts w:cs="Humanist 77 7 BT"/>
          <w:color w:val="000000"/>
        </w:rPr>
        <w:t>ost-</w:t>
      </w:r>
      <w:r w:rsidRPr="00D87E36">
        <w:rPr>
          <w:rFonts w:cs="Humanist 77 7 BT"/>
          <w:color w:val="211D1E"/>
        </w:rPr>
        <w:t>resuscitation</w:t>
      </w:r>
      <w:r>
        <w:rPr>
          <w:rFonts w:cs="Humanist 77 7 BT"/>
          <w:color w:val="211D1E"/>
        </w:rPr>
        <w:t xml:space="preserve"> care</w:t>
      </w:r>
      <w:r w:rsidRPr="00D87E36">
        <w:rPr>
          <w:rFonts w:cs="Humanist 77 7 BT"/>
          <w:color w:val="211D1E"/>
        </w:rPr>
        <w:t xml:space="preserve">. 2015 </w:t>
      </w:r>
      <w:hyperlink r:id="rId9" w:anchor="1-the-guidelines" w:history="1">
        <w:r w:rsidR="00365E05" w:rsidRPr="00D87E36">
          <w:rPr>
            <w:rStyle w:val="Hyperlink"/>
            <w:rFonts w:cstheme="minorHAnsi"/>
          </w:rPr>
          <w:t>www.resus.org.u</w:t>
        </w:r>
        <w:r w:rsidR="00365E05" w:rsidRPr="00D87E36">
          <w:rPr>
            <w:rStyle w:val="Hyperlink"/>
            <w:rFonts w:cstheme="minorHAnsi"/>
          </w:rPr>
          <w:t>k</w:t>
        </w:r>
        <w:r w:rsidR="00365E05" w:rsidRPr="00D87E36">
          <w:rPr>
            <w:rStyle w:val="Hyperlink"/>
            <w:rFonts w:cstheme="minorHAnsi"/>
          </w:rPr>
          <w:t>/library/2015-resuscitation-guidelines/guidelines-post-resuscitation-care#1-the-guidelines</w:t>
        </w:r>
      </w:hyperlink>
      <w:r w:rsidR="00365E05" w:rsidRPr="00D87E36">
        <w:rPr>
          <w:rFonts w:cstheme="minorHAnsi"/>
        </w:rPr>
        <w:t xml:space="preserve"> </w:t>
      </w:r>
    </w:p>
    <w:p w:rsidR="00DC6728" w:rsidRPr="00D87E36" w:rsidRDefault="00D87E36" w:rsidP="00E35353">
      <w:pPr>
        <w:pStyle w:val="ListParagraph"/>
        <w:numPr>
          <w:ilvl w:val="0"/>
          <w:numId w:val="6"/>
        </w:numPr>
        <w:spacing w:after="0" w:line="276" w:lineRule="auto"/>
        <w:ind w:left="426"/>
        <w:rPr>
          <w:rFonts w:cstheme="minorHAnsi"/>
        </w:rPr>
      </w:pPr>
      <w:r w:rsidRPr="00096614">
        <w:rPr>
          <w:rFonts w:cstheme="minorHAnsi"/>
          <w:color w:val="0E0E0E"/>
          <w:shd w:val="clear" w:color="auto" w:fill="FAFAFB"/>
        </w:rPr>
        <w:t>Rehabilitation after critical illness in adults</w:t>
      </w:r>
      <w:r w:rsidR="00096614" w:rsidRPr="00096614">
        <w:rPr>
          <w:rFonts w:cstheme="minorHAnsi"/>
          <w:color w:val="0E0E0E"/>
          <w:shd w:val="clear" w:color="auto" w:fill="FAFAFB"/>
        </w:rPr>
        <w:t xml:space="preserve">. 2009 </w:t>
      </w:r>
      <w:hyperlink r:id="rId10" w:anchor="23-months-after-discharge-from-critical-care" w:history="1">
        <w:r w:rsidR="00DC6728" w:rsidRPr="00D87E36">
          <w:rPr>
            <w:rStyle w:val="Hyperlink"/>
            <w:rFonts w:cstheme="minorHAnsi"/>
          </w:rPr>
          <w:t>https://www.nice.org.uk/guidance/CG83/chapter/1-Guidance#23-m</w:t>
        </w:r>
        <w:r w:rsidR="00DC6728" w:rsidRPr="00D87E36">
          <w:rPr>
            <w:rStyle w:val="Hyperlink"/>
            <w:rFonts w:cstheme="minorHAnsi"/>
          </w:rPr>
          <w:t>o</w:t>
        </w:r>
        <w:r w:rsidR="00DC6728" w:rsidRPr="00D87E36">
          <w:rPr>
            <w:rStyle w:val="Hyperlink"/>
            <w:rFonts w:cstheme="minorHAnsi"/>
          </w:rPr>
          <w:t>nths-after-discharge-from-critical-care</w:t>
        </w:r>
      </w:hyperlink>
    </w:p>
    <w:p w:rsidR="00096614" w:rsidRDefault="00096614" w:rsidP="00365E05">
      <w:pPr>
        <w:spacing w:after="0" w:line="276" w:lineRule="auto"/>
        <w:rPr>
          <w:rFonts w:cstheme="minorHAnsi"/>
        </w:rPr>
      </w:pPr>
    </w:p>
    <w:p w:rsidR="00096614" w:rsidRPr="00096614" w:rsidRDefault="00096614" w:rsidP="00096614">
      <w:pPr>
        <w:rPr>
          <w:rFonts w:cstheme="minorHAnsi"/>
        </w:rPr>
      </w:pPr>
    </w:p>
    <w:p w:rsidR="00096614" w:rsidRDefault="00096614" w:rsidP="00096614">
      <w:pPr>
        <w:rPr>
          <w:rFonts w:cstheme="minorHAnsi"/>
        </w:rPr>
      </w:pPr>
    </w:p>
    <w:p w:rsidR="00365E05" w:rsidRPr="00096614" w:rsidRDefault="00096614" w:rsidP="00096614">
      <w:pPr>
        <w:tabs>
          <w:tab w:val="left" w:pos="2910"/>
        </w:tabs>
        <w:rPr>
          <w:rFonts w:cstheme="minorHAnsi"/>
        </w:rPr>
      </w:pPr>
      <w:r>
        <w:rPr>
          <w:rFonts w:cstheme="minorHAnsi"/>
        </w:rPr>
        <w:tab/>
      </w:r>
      <w:bookmarkStart w:id="0" w:name="_GoBack"/>
      <w:bookmarkEnd w:id="0"/>
    </w:p>
    <w:sectPr w:rsidR="00365E05" w:rsidRPr="00096614" w:rsidSect="00AE0602">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92" w:rsidRDefault="00C53092" w:rsidP="00AE0602">
      <w:pPr>
        <w:spacing w:after="0" w:line="240" w:lineRule="auto"/>
      </w:pPr>
      <w:r>
        <w:separator/>
      </w:r>
    </w:p>
  </w:endnote>
  <w:endnote w:type="continuationSeparator" w:id="0">
    <w:p w:rsidR="00C53092" w:rsidRDefault="00C53092" w:rsidP="00AE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92" w:rsidRDefault="00C53092" w:rsidP="00AE0602">
      <w:pPr>
        <w:spacing w:after="0" w:line="240" w:lineRule="auto"/>
      </w:pPr>
      <w:r>
        <w:separator/>
      </w:r>
    </w:p>
  </w:footnote>
  <w:footnote w:type="continuationSeparator" w:id="0">
    <w:p w:rsidR="00C53092" w:rsidRDefault="00C53092" w:rsidP="00AE0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02" w:rsidRPr="00732492" w:rsidRDefault="00D51AFA" w:rsidP="00FD2230">
    <w:pPr>
      <w:pStyle w:val="Header"/>
      <w:jc w:val="center"/>
      <w:rPr>
        <w:b/>
        <w:sz w:val="28"/>
        <w:szCs w:val="28"/>
      </w:rPr>
    </w:pPr>
    <w:r w:rsidRPr="00D51AFA">
      <w:rPr>
        <w:b/>
        <w:noProof/>
        <w:sz w:val="32"/>
        <w:szCs w:val="32"/>
        <w:lang w:eastAsia="en-GB"/>
      </w:rPr>
      <mc:AlternateContent>
        <mc:Choice Requires="wps">
          <w:drawing>
            <wp:anchor distT="45720" distB="45720" distL="114300" distR="114300" simplePos="0" relativeHeight="251659264" behindDoc="0" locked="0" layoutInCell="1" allowOverlap="1">
              <wp:simplePos x="0" y="0"/>
              <wp:positionH relativeFrom="column">
                <wp:posOffset>4933950</wp:posOffset>
              </wp:positionH>
              <wp:positionV relativeFrom="paragraph">
                <wp:posOffset>-392430</wp:posOffset>
              </wp:positionV>
              <wp:extent cx="168592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solidFill>
                        <a:srgbClr val="FFFFFF"/>
                      </a:solidFill>
                      <a:ln w="9525">
                        <a:noFill/>
                        <a:miter lim="800000"/>
                        <a:headEnd/>
                        <a:tailEnd/>
                      </a:ln>
                    </wps:spPr>
                    <wps:txbx>
                      <w:txbxContent>
                        <w:p w:rsidR="00D51AFA" w:rsidRDefault="00D51AFA">
                          <w:r w:rsidRPr="002E470C">
                            <w:rPr>
                              <w:noProof/>
                              <w:lang w:eastAsia="en-GB"/>
                            </w:rPr>
                            <w:drawing>
                              <wp:inline distT="0" distB="0" distL="0" distR="0" wp14:anchorId="0722F071" wp14:editId="626EE39C">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8.5pt;margin-top:-30.9pt;width:13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" stroked="f">
              <v:textbox style="mso-fit-shape-to-text:t">
                <w:txbxContent>
                  <w:p w:rsidR="00D51AFA" w:rsidRDefault="00D51AFA">
                    <w:r w:rsidRPr="002E470C">
                      <w:rPr>
                        <w:noProof/>
                        <w:lang w:eastAsia="en-GB"/>
                      </w:rPr>
                      <w:drawing>
                        <wp:inline distT="0" distB="0" distL="0" distR="0" wp14:anchorId="0722F071" wp14:editId="626EE39C">
                          <wp:extent cx="1344930" cy="480060"/>
                          <wp:effectExtent l="19050" t="0" r="7620" b="0"/>
                          <wp:docPr id="3" name="Picture 1" descr="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1"/>
                                  <a:srcRect r="34878" b="56446"/>
                                  <a:stretch>
                                    <a:fillRect/>
                                  </a:stretch>
                                </pic:blipFill>
                                <pic:spPr>
                                  <a:xfrm>
                                    <a:off x="0" y="0"/>
                                    <a:ext cx="1344930" cy="480060"/>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AFA" w:rsidRPr="00D51AFA" w:rsidRDefault="00D51AFA" w:rsidP="00D51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821"/>
    <w:multiLevelType w:val="hybridMultilevel"/>
    <w:tmpl w:val="C4FEF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56BDC"/>
    <w:multiLevelType w:val="hybridMultilevel"/>
    <w:tmpl w:val="4900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F62A4"/>
    <w:multiLevelType w:val="hybridMultilevel"/>
    <w:tmpl w:val="61BCEE30"/>
    <w:lvl w:ilvl="0" w:tplc="1DD26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76C8F"/>
    <w:multiLevelType w:val="hybridMultilevel"/>
    <w:tmpl w:val="DD78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65D0E"/>
    <w:multiLevelType w:val="hybridMultilevel"/>
    <w:tmpl w:val="623E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C77FC4"/>
    <w:multiLevelType w:val="hybridMultilevel"/>
    <w:tmpl w:val="C5446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D4816"/>
    <w:multiLevelType w:val="hybridMultilevel"/>
    <w:tmpl w:val="7AAA47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F8295F"/>
    <w:multiLevelType w:val="hybridMultilevel"/>
    <w:tmpl w:val="BE7C53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2"/>
    <w:rsid w:val="00027D03"/>
    <w:rsid w:val="00096614"/>
    <w:rsid w:val="000B6E18"/>
    <w:rsid w:val="000D5EAF"/>
    <w:rsid w:val="000E1157"/>
    <w:rsid w:val="00121F34"/>
    <w:rsid w:val="00163482"/>
    <w:rsid w:val="001A6B9A"/>
    <w:rsid w:val="00212900"/>
    <w:rsid w:val="00235403"/>
    <w:rsid w:val="00242899"/>
    <w:rsid w:val="002E3F96"/>
    <w:rsid w:val="00365E05"/>
    <w:rsid w:val="003A2537"/>
    <w:rsid w:val="004E6795"/>
    <w:rsid w:val="00502A80"/>
    <w:rsid w:val="005165F9"/>
    <w:rsid w:val="00535AE3"/>
    <w:rsid w:val="00541912"/>
    <w:rsid w:val="005561A8"/>
    <w:rsid w:val="005B1E3B"/>
    <w:rsid w:val="006167F9"/>
    <w:rsid w:val="00637519"/>
    <w:rsid w:val="006E137C"/>
    <w:rsid w:val="00727326"/>
    <w:rsid w:val="00732492"/>
    <w:rsid w:val="007338F0"/>
    <w:rsid w:val="007431D7"/>
    <w:rsid w:val="00847F89"/>
    <w:rsid w:val="008929A2"/>
    <w:rsid w:val="00903E45"/>
    <w:rsid w:val="00912678"/>
    <w:rsid w:val="00970F19"/>
    <w:rsid w:val="00985656"/>
    <w:rsid w:val="00991098"/>
    <w:rsid w:val="009D256F"/>
    <w:rsid w:val="00A1064B"/>
    <w:rsid w:val="00AE0602"/>
    <w:rsid w:val="00B4608C"/>
    <w:rsid w:val="00B70645"/>
    <w:rsid w:val="00C27F62"/>
    <w:rsid w:val="00C409D4"/>
    <w:rsid w:val="00C50E70"/>
    <w:rsid w:val="00C53092"/>
    <w:rsid w:val="00C84125"/>
    <w:rsid w:val="00CE78AE"/>
    <w:rsid w:val="00D1784D"/>
    <w:rsid w:val="00D51AFA"/>
    <w:rsid w:val="00D6293A"/>
    <w:rsid w:val="00D87E36"/>
    <w:rsid w:val="00DA10B8"/>
    <w:rsid w:val="00DC3CD8"/>
    <w:rsid w:val="00DC6728"/>
    <w:rsid w:val="00E35C75"/>
    <w:rsid w:val="00EE5630"/>
    <w:rsid w:val="00EE74A8"/>
    <w:rsid w:val="00FD2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7F2913-7A33-417B-AAA2-DE2C135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02"/>
  </w:style>
  <w:style w:type="paragraph" w:styleId="Footer">
    <w:name w:val="footer"/>
    <w:basedOn w:val="Normal"/>
    <w:link w:val="FooterChar"/>
    <w:uiPriority w:val="99"/>
    <w:unhideWhenUsed/>
    <w:rsid w:val="00AE0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02"/>
  </w:style>
  <w:style w:type="paragraph" w:styleId="ListParagraph">
    <w:name w:val="List Paragraph"/>
    <w:basedOn w:val="Normal"/>
    <w:uiPriority w:val="34"/>
    <w:qFormat/>
    <w:rsid w:val="000E1157"/>
    <w:pPr>
      <w:ind w:left="720"/>
      <w:contextualSpacing/>
    </w:pPr>
  </w:style>
  <w:style w:type="character" w:styleId="Hyperlink">
    <w:name w:val="Hyperlink"/>
    <w:basedOn w:val="DefaultParagraphFont"/>
    <w:uiPriority w:val="99"/>
    <w:unhideWhenUsed/>
    <w:rsid w:val="00B70645"/>
    <w:rPr>
      <w:color w:val="0563C1" w:themeColor="hyperlink"/>
      <w:u w:val="single"/>
    </w:rPr>
  </w:style>
  <w:style w:type="character" w:styleId="FollowedHyperlink">
    <w:name w:val="FollowedHyperlink"/>
    <w:basedOn w:val="DefaultParagraphFont"/>
    <w:uiPriority w:val="99"/>
    <w:semiHidden/>
    <w:unhideWhenUsed/>
    <w:rsid w:val="00365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us.org.uk/resuscitation-guidelines/prehospital-resuscit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nice.org.uk/guidance/CG83/chapter/1-Guidance" TargetMode="External"/><Relationship Id="rId4" Type="http://schemas.openxmlformats.org/officeDocument/2006/relationships/webSettings" Target="webSettings.xml"/><Relationship Id="rId9" Type="http://schemas.openxmlformats.org/officeDocument/2006/relationships/hyperlink" Target="http://www.resus.org.uk/library/2015-resuscitation-guidelines/guidelines-post-resuscitation-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Neil Smith</cp:lastModifiedBy>
  <cp:revision>2</cp:revision>
  <dcterms:created xsi:type="dcterms:W3CDTF">2021-02-09T10:34:00Z</dcterms:created>
  <dcterms:modified xsi:type="dcterms:W3CDTF">2021-02-09T10:34:00Z</dcterms:modified>
</cp:coreProperties>
</file>